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3E" w:rsidRDefault="007B198E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79 /05.09.2025</w:t>
      </w:r>
    </w:p>
    <w:p w:rsidR="00F31A3E" w:rsidRDefault="00F31A3E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7B198E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F31A3E" w:rsidRDefault="007B198E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05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.0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9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5</w:t>
      </w:r>
    </w:p>
    <w:p w:rsidR="00F31A3E" w:rsidRDefault="00F31A3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2231"/>
        <w:gridCol w:w="2604"/>
        <w:gridCol w:w="1801"/>
        <w:gridCol w:w="2178"/>
      </w:tblGrid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3107" w:type="dxa"/>
          </w:tcPr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F31A3E" w:rsidRDefault="00F31A3E">
            <w:pPr>
              <w:spacing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72" w:type="dxa"/>
          </w:tcPr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F31A3E" w:rsidRDefault="00F31A3E">
            <w:pPr>
              <w:spacing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F31A3E" w:rsidRDefault="00F31A3E">
            <w:pPr>
              <w:spacing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636" w:type="dxa"/>
          </w:tcPr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F31A3E" w:rsidRDefault="007B198E">
            <w:pPr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  <w:r>
              <w:rPr>
                <w:rFonts w:ascii="Times New Roman Bold" w:eastAsia="TimesNewRomanPS-BoldMT" w:hAnsi="Times New Roman Bold" w:cs="Times New Roman Bold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F31A3E" w:rsidRDefault="00F31A3E">
            <w:pPr>
              <w:spacing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o-RO"/>
              </w:rPr>
            </w:pP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ordinii de zi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Aprobarea secretarului din cadrul Consiliului de Administrație, dar și din cadrul Consiliului Profesoral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structură an școlar 2025-2026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cod de etică professional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5.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consilier de etică și integritate ales în Consiliul Profesoral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 xml:space="preserve">Aprobarea calificativelor personalului didactic și a personalului </w:t>
            </w: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auxiliar pentru anul școlar 2024-2025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PERSONALUL: DIDACTIC, DIDACTIC AUXILIAR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7.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coordonatori de structuri- Grădinița cu program normal Teliucu Inferior și Grădinița cu program normal Cinciș-Cerna pentru anul școlar 2025-2026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ECTOR/ CADRE DIDACTICE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8.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educatori, învățători și diriginți repartizați pe clase și grupe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9.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a doi membri în</w:t>
            </w:r>
            <w:r>
              <w:rPr>
                <w:rFonts w:ascii="Times New Roman Regular" w:eastAsia="Calibri" w:hAnsi="Times New Roman Regular" w:cs="Times New Roman Regular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Consiliul de Administrație aleși în Consiliul Profesoral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10.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Aprobarea alegerii în Consiliul Profesoral a consilierului educative, a coordonatorului pentru proiecte și programe școlare și extrașcolare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11.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 xml:space="preserve">Aprobarea alegerii în Consiliul Profesoral a coordonatorului pentru proiecte </w:t>
            </w: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europene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Aprobarea constituirii comisiilor metodice la nivelul școlii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CADRE DIDACTICE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13.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Aprobarea constituirii comisiilor din școală cu caracter permanent, temporar, și ocazional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SECRETAR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14.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eastAsia="Calibri" w:hAnsi="Times New Roman Regular" w:cs="Times New Roman Regular"/>
                <w:sz w:val="24"/>
                <w:szCs w:val="24"/>
              </w:rPr>
              <w:t>Aprobare orar și aprobarea orarului pentru masa sănătoasă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15.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 delegare de sarcini ale directorului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16.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 perioadă de desfășurare a Săptămânii verde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 xml:space="preserve">PERSONALUL DIDACTIC/ 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DIRIGINȚI/ ÎNVĂȚĂTORI/ EDUCATORI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17.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 perioadă de desfășurare a Săptămânii altfel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PERSONALUL DIDACTIC/ DIRIGINȚI/ ÎNVĂȚĂTORI/ EDUCATORI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18.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Aprobarea situației școlare de la finalul anului școlar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19.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Aprobarea cererilor de transfer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DIRECTOR/ SECRETARIAT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20.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Aprobare traseu microbuz</w:t>
            </w:r>
          </w:p>
          <w:p w:rsidR="00F31A3E" w:rsidRDefault="00F31A3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F31A3E">
        <w:tc>
          <w:tcPr>
            <w:tcW w:w="102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21.</w:t>
            </w:r>
          </w:p>
        </w:tc>
        <w:tc>
          <w:tcPr>
            <w:tcW w:w="3107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3772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 xml:space="preserve"> Diverse</w:t>
            </w:r>
          </w:p>
        </w:tc>
        <w:tc>
          <w:tcPr>
            <w:tcW w:w="2635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-</w:t>
            </w:r>
          </w:p>
        </w:tc>
        <w:tc>
          <w:tcPr>
            <w:tcW w:w="2636" w:type="dxa"/>
          </w:tcPr>
          <w:p w:rsidR="00F31A3E" w:rsidRDefault="007B198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</w:tbl>
    <w:p w:rsidR="00F31A3E" w:rsidRDefault="00F31A3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7B198E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PREȘEDINTELE CONSILIULUI DE ADMINISTRAȚIE AL ȘCOLII GIMNAZIALE TELIUCU INFERIOR</w:t>
      </w:r>
    </w:p>
    <w:p w:rsidR="00F31A3E" w:rsidRDefault="007B198E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F31A3E" w:rsidRDefault="007B198E">
      <w:pPr>
        <w:pStyle w:val="ListParagraph"/>
        <w:tabs>
          <w:tab w:val="left" w:pos="6510"/>
        </w:tabs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Prof. Nicolae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>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F31A3E" w:rsidRDefault="00F31A3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7B198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F31A3E" w:rsidRDefault="007B198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F31A3E" w:rsidRDefault="007B198E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</w:p>
    <w:p w:rsidR="00F31A3E" w:rsidRDefault="007B198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, </w:t>
      </w:r>
    </w:p>
    <w:p w:rsidR="00F31A3E" w:rsidRDefault="007B198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    Prof. Andreia Acatrinei   </w:t>
      </w:r>
    </w:p>
    <w:p w:rsidR="00F31A3E" w:rsidRDefault="00F31A3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F31A3E" w:rsidRDefault="00F31A3E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F31A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8E" w:rsidRDefault="007B198E">
      <w:pPr>
        <w:spacing w:line="240" w:lineRule="auto"/>
      </w:pPr>
      <w:r>
        <w:separator/>
      </w:r>
    </w:p>
  </w:endnote>
  <w:endnote w:type="continuationSeparator" w:id="0">
    <w:p w:rsidR="007B198E" w:rsidRDefault="007B1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8E" w:rsidRDefault="007B198E">
      <w:pPr>
        <w:spacing w:after="0"/>
      </w:pPr>
      <w:r>
        <w:separator/>
      </w:r>
    </w:p>
  </w:footnote>
  <w:footnote w:type="continuationSeparator" w:id="0">
    <w:p w:rsidR="007B198E" w:rsidRDefault="007B19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F31A3E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F31A3E" w:rsidRDefault="007B198E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F31A3E" w:rsidRDefault="007B198E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F31A3E" w:rsidRDefault="007B198E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F31A3E" w:rsidRDefault="007B198E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F31A3E" w:rsidRDefault="007B198E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F31A3E" w:rsidRDefault="00F31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F3FCAFBE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B198E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413A"/>
    <w:rsid w:val="00AC5710"/>
    <w:rsid w:val="00AE3AD8"/>
    <w:rsid w:val="00B10FB0"/>
    <w:rsid w:val="00B12B74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62AD"/>
    <w:rsid w:val="00EC5628"/>
    <w:rsid w:val="00ED0158"/>
    <w:rsid w:val="00ED02D0"/>
    <w:rsid w:val="00EF4228"/>
    <w:rsid w:val="00F31A3E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44B78AD2"/>
    <w:rsid w:val="62DFA4A8"/>
    <w:rsid w:val="6B9776CB"/>
    <w:rsid w:val="773F4504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25BD13B-D8DE-426F-B198-F670977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2475</Characters>
  <Application>Microsoft Office Word</Application>
  <DocSecurity>0</DocSecurity>
  <Lines>20</Lines>
  <Paragraphs>5</Paragraphs>
  <ScaleCrop>false</ScaleCrop>
  <Company>Unitate Scolara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2022-10-03T09:32:00Z</cp:lastPrinted>
  <dcterms:created xsi:type="dcterms:W3CDTF">2026-06-04T05:20:00Z</dcterms:created>
  <dcterms:modified xsi:type="dcterms:W3CDTF">2026-06-04T05:20:00Z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